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仿宋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" w:cs="Times New Roman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spacing w:afterLines="50" w:line="360" w:lineRule="auto"/>
        <w:jc w:val="center"/>
        <w:rPr>
          <w:rFonts w:ascii="Times New Roman" w:hAnsi="Times New Roman" w:eastAsia="方正公文小标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广西师范大学第十六届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研究生</w:t>
      </w:r>
      <w:r>
        <w:rPr>
          <w:rFonts w:hint="eastAsia" w:ascii="仿宋" w:hAnsi="仿宋" w:eastAsia="仿宋" w:cs="仿宋"/>
          <w:b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“学术之星”评分细则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学术成果</w:t>
      </w:r>
    </w:p>
    <w:p>
      <w:pPr>
        <w:pStyle w:val="2"/>
        <w:spacing w:before="0" w:after="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（一）期刊论文得分</w:t>
      </w:r>
    </w:p>
    <w:p>
      <w:pPr>
        <w:pStyle w:val="2"/>
        <w:spacing w:before="0" w:after="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人文社会科学类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545"/>
        <w:gridCol w:w="3537"/>
        <w:gridCol w:w="1432"/>
        <w:gridCol w:w="981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《中国社会科学》（含英文版）发表；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《新华文摘》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字以上转载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类权威期刊；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一区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类核心；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A&amp;HCI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3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类核心；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二区；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《中国社会科学》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字以上转载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南大核心（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三区；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《人大复印资料》全文转载；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《新华文摘》论点摘编；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扩；北大核心（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PKU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四区；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《人大复印资料》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字以上转载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F1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本科大学学报或专业性期刊，本专业领域的省级以上学会（研究会）、其他专业领域的全国性学会主办的期刊，省级社科院（联）、党校、行政学院主办的非核心期刊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类加分不超过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类不允许叠加，每类限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其他本科学院学报，本专业领域的地市级学会、其他专业领域的省级学会主办的期刊，地市级社科院（联）、党校、行政学院主办的期刊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专科学校、职业技术学院等各类学术水平相对较低的正规期刊（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字以上）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</w:p>
        </w:tc>
        <w:tc>
          <w:tcPr>
            <w:tcW w:w="4969" w:type="dxa"/>
            <w:gridSpan w:val="2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字以下的非核心期刊论文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G1</w:t>
            </w:r>
          </w:p>
        </w:tc>
        <w:tc>
          <w:tcPr>
            <w:tcW w:w="3537" w:type="dxa"/>
            <w:vMerge w:val="restart"/>
            <w:vAlign w:val="center"/>
          </w:tcPr>
          <w:p>
            <w:pPr>
              <w:jc w:val="center"/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会议论文集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国际英文版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累加不超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2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G2</w:t>
            </w:r>
          </w:p>
        </w:tc>
        <w:tc>
          <w:tcPr>
            <w:tcW w:w="3537" w:type="dxa"/>
            <w:vMerge w:val="continue"/>
            <w:vAlign w:val="center"/>
          </w:tcPr>
          <w:p>
            <w:pPr>
              <w:jc w:val="both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国际中文版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G3</w:t>
            </w:r>
          </w:p>
        </w:tc>
        <w:tc>
          <w:tcPr>
            <w:tcW w:w="3537" w:type="dxa"/>
            <w:vMerge w:val="continue"/>
            <w:vAlign w:val="center"/>
          </w:tcPr>
          <w:p>
            <w:pPr>
              <w:jc w:val="both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国家级权威部委研讨会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b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2"/>
        <w:spacing w:before="0" w:after="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自然科学类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545"/>
        <w:gridCol w:w="8"/>
        <w:gridCol w:w="3529"/>
        <w:gridCol w:w="1432"/>
        <w:gridCol w:w="981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T1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Nature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Science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Cell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T2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Nature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Science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Cell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子刊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（应为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一区期刊）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CCF-A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CCF-B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CCF-B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83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14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四区；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CCF-C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E1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论文；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CSCD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CSSCI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CCF-C</w:t>
            </w:r>
            <w:r>
              <w:rPr>
                <w:rFonts w:hint="eastAsia" w:ascii="Times New Roman" w:hAnsi="Times New Roman" w:eastAsia="仿宋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会议</w:t>
            </w:r>
            <w:bookmarkStart w:id="0" w:name="_GoBack"/>
            <w:bookmarkEnd w:id="0"/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论文；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E2</w:t>
            </w:r>
          </w:p>
        </w:tc>
        <w:tc>
          <w:tcPr>
            <w:tcW w:w="496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其他中文核心期刊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F1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本科大学学报或专业性期刊，本专业领域的省级以上学会（研究会）、其他专业领域的全国性学会主办的期刊，省级社科院（联）、党校、行政学院主办的非核心期刊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类加分不超过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分；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类不允许叠加，每类限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F2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其他本科学院学报，本专业领域的地市级学会、其他专业领域的省级学会主办的期刊，地市级社科院（联）、党校、行政学院主办的期刊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F3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专科学校、职业技术学院等各类学术水平相对较低的正规期刊（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字以上）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F4</w:t>
            </w:r>
          </w:p>
        </w:tc>
        <w:tc>
          <w:tcPr>
            <w:tcW w:w="4969" w:type="dxa"/>
            <w:gridSpan w:val="3"/>
            <w:vAlign w:val="center"/>
          </w:tcPr>
          <w:p>
            <w:pPr>
              <w:jc w:val="left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3000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字以下的非核心期刊论文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仿宋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G1</w:t>
            </w:r>
          </w:p>
        </w:tc>
        <w:tc>
          <w:tcPr>
            <w:tcW w:w="353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会议论文集</w:t>
            </w:r>
          </w:p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国际英文版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累加不超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2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G2</w:t>
            </w:r>
          </w:p>
        </w:tc>
        <w:tc>
          <w:tcPr>
            <w:tcW w:w="353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Times New Roman" w:hAnsi="Times New Roman" w:eastAsia="仿宋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国际中文版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31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5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G3</w:t>
            </w:r>
          </w:p>
        </w:tc>
        <w:tc>
          <w:tcPr>
            <w:tcW w:w="3537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国家级权威部委研讨会</w:t>
            </w:r>
          </w:p>
        </w:tc>
        <w:tc>
          <w:tcPr>
            <w:tcW w:w="981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注：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）论文必须有广西师范大学的知识产权，作者单位需标注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广西师范大学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）论文必须是在合法刊号刊物上公开发表，用稿通知和校对稿不计分；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）在报纸理论版发表学术性或理论性文章的，全国性报纸加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分，省级加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分，市级加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分（所发文章须在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800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字以上，必须与所学专业相关）；</w:t>
      </w:r>
    </w:p>
    <w:p>
      <w:pPr>
        <w:widowControl/>
        <w:shd w:val="clear" w:color="auto" w:fill="FFFFFF"/>
        <w:spacing w:line="360" w:lineRule="auto"/>
        <w:ind w:firstLine="0" w:firstLineChars="0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）以上是以参评者为第一作者的情况下的评分。学生合著论文，第一作者占分值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，第二作者占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，第三作者及以后不计分；若学生共同一作，如共同一作有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人，则加分为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；如共同一作有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人，则加分为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33.33%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。若导师为第一作者，二、三学生取分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；若导师为第二作者，一、三作者取分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；若第一、第二都为导师，第三作者取分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）同一论文若同时属于多个类别，按最高项计分，不重复计分。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（二）课题项目得分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0"/>
        <w:gridCol w:w="1554"/>
        <w:gridCol w:w="1511"/>
        <w:gridCol w:w="1640"/>
        <w:gridCol w:w="1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2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国家级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省部级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市厅级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立项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结项</w:t>
            </w:r>
          </w:p>
        </w:tc>
        <w:tc>
          <w:tcPr>
            <w:tcW w:w="15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60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51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640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173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1.论文必须有广西师范大学的知识产权，作者单位需标注“广西师范大学”；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2.以负责人身份参加获满分，以课题组成员身份参与则按照课题组参与人数平均分配得分。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（三）著作得分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1.著作要求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（1）著作必须在截至2022年4月30日前出版；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（2）著作必须是原件且有广西师范大学的知识产权，作者单位需标注“广西师范大学”；计分不分专著、编著、译著或教材。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2.著作计分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（1）主编或第一作者计25分；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（2）副主编或第二作者计20分；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（3）其他作者，5万字以上计15分，5 万字以下3万字以上计10分，3万字以下计5分。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（四）科研成果、科技发明及论文获奖情况得分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科研成果、科技发明获奖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省部级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市厅级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校级</w:t>
            </w:r>
          </w:p>
        </w:tc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  <w:tc>
          <w:tcPr>
            <w:tcW w:w="21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论文获奖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30"/>
        <w:gridCol w:w="3332"/>
        <w:gridCol w:w="3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2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层次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国家权威部委一级学会组织评定优秀论文</w:t>
            </w: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省级及市厅级权威部委评定优秀论文</w:t>
            </w: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0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</w:t>
            </w:r>
          </w:p>
        </w:tc>
        <w:tc>
          <w:tcPr>
            <w:tcW w:w="30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1.以“广西师范大学”为第一单位获奖的成果才予以加分，需提供相关证明材料；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本项中的学术论文获奖中的评奖与颁奖部门应为国家级、省市厅级单位；研究生本人为第一作者的，予以加分，研究生本人为其他作者的，不予加分，需提供相关获奖凭据及复印件。在各类协会/学会举办的论文评比中获奖的均不予加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3.获奖成果得分，按排名先后分配，其中排名第一者占60%、其他均分40%，不计排名；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4.同一团队（参赛作品）按最高项计分，不重复计分。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（五）知识产权得分</w:t>
      </w:r>
    </w:p>
    <w:tbl>
      <w:tblPr>
        <w:tblStyle w:val="3"/>
        <w:tblW w:w="8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5650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国内授权发明专利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国内授权实用新型专利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国内授权外观设计专利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6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</w:t>
            </w: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类</w:t>
            </w:r>
          </w:p>
        </w:tc>
        <w:tc>
          <w:tcPr>
            <w:tcW w:w="565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_GB2312" w:eastAsia="仿宋_GB2312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计算机软件著作权</w:t>
            </w:r>
          </w:p>
        </w:tc>
        <w:tc>
          <w:tcPr>
            <w:tcW w:w="1562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widowControl/>
        <w:shd w:val="clear" w:color="auto" w:fill="FFFFFF"/>
        <w:spacing w:line="360" w:lineRule="auto"/>
        <w:jc w:val="left"/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: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以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广西师范大学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为第一单位获得的专利才予以加分，需提供相关证明材料；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以上是以参评者为第一作者的情况下的评分，若第一作者为导师，则第二作者可视为第一作者，加该类别满分；若第一作者不为导师，则第二作者得分按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计算；若第一、第二作者都为老师，则第三作者得分按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计算；若第一作者为导师，第三作者得分按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25%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计算；共同一作的按照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计算；其他情况下第三作者及以后均不加分。</w:t>
      </w:r>
    </w:p>
    <w:p>
      <w:pPr>
        <w:widowControl/>
        <w:shd w:val="clear" w:color="auto" w:fill="FFFFFF"/>
        <w:spacing w:line="360" w:lineRule="auto"/>
        <w:jc w:val="left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专利受理阶段得分按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计算。</w:t>
      </w:r>
    </w:p>
    <w:p>
      <w:pPr>
        <w:pStyle w:val="2"/>
        <w:spacing w:beforeLines="50" w:afterLines="50" w:line="360" w:lineRule="auto"/>
        <w:rPr>
          <w:rFonts w:ascii="Times New Roman" w:hAnsi="Times New Roman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二、学科专业竞赛活动得分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954"/>
        <w:gridCol w:w="2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级别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省部级竞赛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市厅级竞赛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校级竞赛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金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二等奖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银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三等奖</w:t>
            </w: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铜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84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入选（参与）</w:t>
            </w:r>
          </w:p>
        </w:tc>
        <w:tc>
          <w:tcPr>
            <w:tcW w:w="2954" w:type="dxa"/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仿宋" w:eastAsia="仿宋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注：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获奖单位需标注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广西师范大学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互联网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+”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创青春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挑战杯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等创新创业赛事属于学科竞赛计分范畴，社会实践活动不计分；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参赛的展览或其他竞赛活动未设奖项等级，如设优秀奖和入选奖的，优秀奖（或最佳作品奖）按二等奖加分，入选奖按三等奖加分。获奖及入选需提供相应证明；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获奖</w:t>
      </w:r>
      <w:r>
        <w:rPr>
          <w:rFonts w:ascii="Times New Roman" w:hAnsi="仿宋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以证书为准，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必须由国家认同的行业一级协会或是由国家政府部门颁发；</w:t>
      </w:r>
      <w:r>
        <w:rPr>
          <w:rFonts w:ascii="Times New Roman" w:hAnsi="仿宋" w:eastAsia="仿宋" w:cs="Times New Roman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参与情况以记录为准，以个人名义开展或参与的文体活动须经过相关部门的证明，并以书面形式上报，经审核通过后方可按照相应的级别加分；</w:t>
      </w:r>
    </w:p>
    <w:p>
      <w:pPr>
        <w:widowControl/>
        <w:shd w:val="clear" w:color="auto" w:fill="FFFFFF"/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如以团体形式获奖，按排名先后分配，排名第一者占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，其他参与者均分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40%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spacing w:beforeLines="50" w:after="10" w:line="360" w:lineRule="auto"/>
        <w:rPr>
          <w:rFonts w:ascii="Times New Roman" w:hAnsi="Times New Roman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仿宋" w:eastAsia="仿宋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仿宋" w:eastAsia="仿宋" w:cs="Times New Roman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相关说明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学生参评作品须是研究生在校期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间（2021年4月30日-2022年4月30日）；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2.所有论文、专利、奖项、著作、课题项目等所在单位须标明为“广西师范大学”；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.以下情况不予计分，但在得分相同的情况下予以优先考虑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（1）书评、学术介绍性、综述性文章；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（2）参与编写的教材类内容。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.往届“学术之星”获奖者不能再次参评（硕士期间曾被评选，如现为博士学历，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且所在学院有博士点，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:lang w:val="zh-CN"/>
          <w14:textFill>
            <w14:solidFill>
              <w14:schemeClr w14:val="tx1"/>
            </w14:solidFill>
          </w14:textFill>
        </w:rPr>
        <w:t>则可参与评选）；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5.同一科研成果获不同级别奖励，得分取最高分计，不累加；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6.若该成果获奖后，又在刊物、报纸等发表者，得分取最高分计，不累加；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7获国家发明专利成果应有专利证书，若该专利获得其他科研奖励者，以最高分计，不累加；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8.产品、软件、课件等技术成果转让，以双方鉴定的技术成果转让合同书为准；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9.产品、软件、课件等技术成果的开发推广，以学校或个人应收到的分成部分经费为准；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10.产品、软件、课件的技术成果鉴定，以校级以上组织的专家鉴定会形成的科技成果鉴定文件为准；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11.各参赛同学对自己申报的成果有举证的义务，对于抄袭、虚报、谎报成果的同学，一经发现，立即取消参评资格，并报予学校有关部门处理；</w:t>
      </w:r>
    </w:p>
    <w:p>
      <w:pPr>
        <w:spacing w:line="360" w:lineRule="auto"/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12.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各学院（部）拟推荐人选，不得有重修、挂科现象，一经发现存在重修、挂科现象，研究生工作部将取消参评人员资格；</w:t>
      </w:r>
    </w:p>
    <w:p>
      <w:pPr>
        <w:spacing w:line="360" w:lineRule="auto"/>
      </w:pP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13.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本评分细则最终解释权归广西师范大学第十六届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学术之星</w:t>
      </w:r>
      <w:r>
        <w:rPr>
          <w:rFonts w:ascii="Times New Roman" w:hAnsi="Times New Roman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仿宋" w:eastAsia="仿宋" w:cs="Times New Roman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评选活动组织委员会所有。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7DF36D6-AEB9-416E-B2F6-68F3CE01035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348FC20-82C2-4B95-9A3F-3674530773F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4BFAF5D1-30CB-474C-B6E8-EB94D5B94C72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0F2757E4-0E69-4CB0-B0C1-2747737DB23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lMzMzMjFhN2Q3ZWU1N2RhNDk3NTc2ZWFiZTcwMzEifQ=="/>
  </w:docVars>
  <w:rsids>
    <w:rsidRoot w:val="56074503"/>
    <w:rsid w:val="14110C00"/>
    <w:rsid w:val="42811667"/>
    <w:rsid w:val="5607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3090</Words>
  <Characters>3378</Characters>
  <Lines>0</Lines>
  <Paragraphs>0</Paragraphs>
  <TotalTime>0</TotalTime>
  <ScaleCrop>false</ScaleCrop>
  <LinksUpToDate>false</LinksUpToDate>
  <CharactersWithSpaces>3379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2022-05-12T05:35:00Z</dcterms:created>
  <dc:creator>平川师妹</dc:creator>
  <cp:lastModifiedBy>平川师妹</cp:lastModifiedBy>
  <dcterms:modified xsi:type="dcterms:W3CDTF">2022-05-12T09:49:17Z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230C86773DFC40A9A14B7BB2CD65ECAB</vt:lpwstr>
  </property>
</Properties>
</file>